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11CA7067"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Caso</w:t>
      </w:r>
      <w:r w:rsidR="00D233CD" w:rsidRPr="00D233CD">
        <w:rPr>
          <w:rFonts w:ascii="Verdana" w:hAnsi="Verdana"/>
          <w:b/>
          <w:sz w:val="22"/>
          <w:szCs w:val="22"/>
          <w:u w:val="single"/>
        </w:rPr>
        <w:t xml:space="preserve"> </w:t>
      </w:r>
      <w:r w:rsidR="00233E36">
        <w:rPr>
          <w:rFonts w:ascii="Verdana" w:hAnsi="Verdana"/>
          <w:b/>
          <w:sz w:val="22"/>
          <w:szCs w:val="22"/>
          <w:u w:val="single"/>
        </w:rPr>
        <w:t>Integrantes y Militantes de la Unión Patriótica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2B7A185E" w14:textId="77777777" w:rsidR="00736B3D" w:rsidRPr="00FF7936" w:rsidRDefault="00736B3D" w:rsidP="00736B3D">
      <w:pPr>
        <w:pStyle w:val="Default"/>
        <w:numPr>
          <w:ilvl w:val="0"/>
          <w:numId w:val="2"/>
        </w:numPr>
        <w:jc w:val="both"/>
        <w:rPr>
          <w:sz w:val="20"/>
          <w:szCs w:val="20"/>
        </w:rPr>
      </w:pPr>
      <w:r w:rsidRPr="00FF7936">
        <w:rPr>
          <w:sz w:val="20"/>
          <w:szCs w:val="20"/>
        </w:rPr>
        <w:t>Es</w:t>
      </w:r>
      <w:r w:rsidR="00F7187A" w:rsidRPr="00FF7936">
        <w:rPr>
          <w:sz w:val="20"/>
          <w:szCs w:val="20"/>
        </w:rPr>
        <w:t>tablecer y pon</w:t>
      </w:r>
      <w:r w:rsidRPr="00FF7936">
        <w:rPr>
          <w:sz w:val="20"/>
          <w:szCs w:val="20"/>
        </w:rPr>
        <w:t>er</w:t>
      </w:r>
      <w:r w:rsidR="00F7187A" w:rsidRPr="00FF7936">
        <w:rPr>
          <w:sz w:val="20"/>
          <w:szCs w:val="20"/>
        </w:rPr>
        <w:t xml:space="preserve"> en funcionamiento la “comisión para la constatación de la identidad y parentesco de las víctimas listadas en los Anexos II y III” de </w:t>
      </w:r>
      <w:r w:rsidRPr="00FF7936">
        <w:rPr>
          <w:sz w:val="20"/>
          <w:szCs w:val="20"/>
        </w:rPr>
        <w:t>l</w:t>
      </w:r>
      <w:r w:rsidR="00F7187A" w:rsidRPr="00FF7936">
        <w:rPr>
          <w:sz w:val="20"/>
          <w:szCs w:val="20"/>
        </w:rPr>
        <w:t xml:space="preserve">a Sentencia, en los términos de lo establecido en los párrafos 533 a 539 de </w:t>
      </w:r>
      <w:r w:rsidRPr="00FF7936">
        <w:rPr>
          <w:sz w:val="20"/>
          <w:szCs w:val="20"/>
        </w:rPr>
        <w:t>la misma</w:t>
      </w:r>
      <w:r w:rsidR="00F7187A" w:rsidRPr="00FF7936">
        <w:rPr>
          <w:sz w:val="20"/>
          <w:szCs w:val="20"/>
        </w:rPr>
        <w:t xml:space="preserve">. </w:t>
      </w:r>
    </w:p>
    <w:p w14:paraId="1F1C2857" w14:textId="77777777" w:rsidR="00736B3D" w:rsidRPr="00FF7936" w:rsidRDefault="00736B3D" w:rsidP="00736B3D">
      <w:pPr>
        <w:pStyle w:val="Default"/>
        <w:ind w:left="363"/>
        <w:jc w:val="both"/>
        <w:rPr>
          <w:sz w:val="20"/>
          <w:szCs w:val="20"/>
        </w:rPr>
      </w:pPr>
    </w:p>
    <w:p w14:paraId="085F9B89" w14:textId="6232AB83" w:rsidR="007231D9" w:rsidRPr="00FF7936" w:rsidRDefault="00736B3D" w:rsidP="007231D9">
      <w:pPr>
        <w:pStyle w:val="Default"/>
        <w:numPr>
          <w:ilvl w:val="0"/>
          <w:numId w:val="2"/>
        </w:numPr>
        <w:jc w:val="both"/>
        <w:rPr>
          <w:sz w:val="20"/>
          <w:szCs w:val="20"/>
        </w:rPr>
      </w:pPr>
      <w:r w:rsidRPr="00FF7936">
        <w:rPr>
          <w:sz w:val="20"/>
          <w:szCs w:val="20"/>
        </w:rPr>
        <w:t>I</w:t>
      </w:r>
      <w:r w:rsidR="00F7187A" w:rsidRPr="00FF7936">
        <w:rPr>
          <w:sz w:val="20"/>
          <w:szCs w:val="20"/>
        </w:rPr>
        <w:t xml:space="preserve">niciar, impulsar, reabrir dirigir y continuar, en un plazo no mayor de dos años, y concluir, en un plazo razonable y con la mayor diligencia, las investigaciones amplias y sistemáticas, con el fin de establecer la verdad de los hechos relativos a graves violaciones a los derechos humanos del presente caso y determinar las responsabilidades penales que pudieran existir, y remover todos los obstáculos de facto y de jure que mantienen en la impunidad los hechos relacionados con este caso, en los términos de lo establecido en el párrafo 554 de </w:t>
      </w:r>
      <w:r w:rsidR="007231D9" w:rsidRPr="00FF7936">
        <w:rPr>
          <w:sz w:val="20"/>
          <w:szCs w:val="20"/>
        </w:rPr>
        <w:t>l</w:t>
      </w:r>
      <w:r w:rsidR="00F7187A" w:rsidRPr="00FF7936">
        <w:rPr>
          <w:sz w:val="20"/>
          <w:szCs w:val="20"/>
        </w:rPr>
        <w:t xml:space="preserve">a </w:t>
      </w:r>
      <w:r w:rsidR="00FF7936">
        <w:rPr>
          <w:sz w:val="20"/>
          <w:szCs w:val="20"/>
        </w:rPr>
        <w:t>S</w:t>
      </w:r>
      <w:r w:rsidR="00F7187A" w:rsidRPr="00FF7936">
        <w:rPr>
          <w:sz w:val="20"/>
          <w:szCs w:val="20"/>
        </w:rPr>
        <w:t xml:space="preserve">entencia. </w:t>
      </w:r>
    </w:p>
    <w:p w14:paraId="56DE8EF7" w14:textId="77777777" w:rsidR="007231D9" w:rsidRPr="00FF7936" w:rsidRDefault="007231D9" w:rsidP="007231D9">
      <w:pPr>
        <w:pStyle w:val="Prrafodelista"/>
      </w:pPr>
    </w:p>
    <w:p w14:paraId="41321774" w14:textId="77777777" w:rsidR="007231D9" w:rsidRPr="00FF7936" w:rsidRDefault="007231D9" w:rsidP="007231D9">
      <w:pPr>
        <w:pStyle w:val="Default"/>
        <w:numPr>
          <w:ilvl w:val="0"/>
          <w:numId w:val="2"/>
        </w:numPr>
        <w:jc w:val="both"/>
        <w:rPr>
          <w:sz w:val="20"/>
          <w:szCs w:val="20"/>
        </w:rPr>
      </w:pPr>
      <w:r w:rsidRPr="00FF7936">
        <w:rPr>
          <w:sz w:val="20"/>
          <w:szCs w:val="20"/>
        </w:rPr>
        <w:t>E</w:t>
      </w:r>
      <w:r w:rsidR="00F7187A" w:rsidRPr="00FF7936">
        <w:rPr>
          <w:sz w:val="20"/>
          <w:szCs w:val="20"/>
        </w:rPr>
        <w:t>fectuar</w:t>
      </w:r>
      <w:r w:rsidRPr="00FF7936">
        <w:rPr>
          <w:sz w:val="20"/>
          <w:szCs w:val="20"/>
        </w:rPr>
        <w:t xml:space="preserve"> </w:t>
      </w:r>
      <w:r w:rsidR="00F7187A" w:rsidRPr="00FF7936">
        <w:rPr>
          <w:sz w:val="20"/>
          <w:szCs w:val="20"/>
        </w:rPr>
        <w:t xml:space="preserve">una búsqueda rigurosa en la cual realice todos los esfuerzos para determinar, a la mayor brevedad posible, el paradero de las víctimas desaparecidas cuyo destino aún se desconoce y que son mencionadas en los Anexos I y III, en los términos establecidos en los párrafos 560 a 562 de </w:t>
      </w:r>
      <w:r w:rsidRPr="00FF7936">
        <w:rPr>
          <w:sz w:val="20"/>
          <w:szCs w:val="20"/>
        </w:rPr>
        <w:t>l</w:t>
      </w:r>
      <w:r w:rsidR="00F7187A" w:rsidRPr="00FF7936">
        <w:rPr>
          <w:sz w:val="20"/>
          <w:szCs w:val="20"/>
        </w:rPr>
        <w:t xml:space="preserve">a Sentencia. </w:t>
      </w:r>
    </w:p>
    <w:p w14:paraId="39BA99AE" w14:textId="77777777" w:rsidR="007231D9" w:rsidRPr="00FF7936" w:rsidRDefault="007231D9" w:rsidP="007231D9">
      <w:pPr>
        <w:pStyle w:val="Prrafodelista"/>
      </w:pPr>
    </w:p>
    <w:p w14:paraId="1FF6524A" w14:textId="77777777" w:rsidR="007231D9" w:rsidRPr="00FF7936" w:rsidRDefault="007231D9" w:rsidP="007231D9">
      <w:pPr>
        <w:pStyle w:val="Default"/>
        <w:numPr>
          <w:ilvl w:val="0"/>
          <w:numId w:val="2"/>
        </w:numPr>
        <w:jc w:val="both"/>
        <w:rPr>
          <w:sz w:val="20"/>
          <w:szCs w:val="20"/>
        </w:rPr>
      </w:pPr>
      <w:r w:rsidRPr="00FF7936">
        <w:rPr>
          <w:sz w:val="20"/>
          <w:szCs w:val="20"/>
        </w:rPr>
        <w:t>B</w:t>
      </w:r>
      <w:r w:rsidR="00F7187A" w:rsidRPr="00FF7936">
        <w:rPr>
          <w:sz w:val="20"/>
          <w:szCs w:val="20"/>
        </w:rPr>
        <w:t xml:space="preserve">rindar el tratamiento médico, psicológico, psiquiátrico o psicosocial a las víctimas que así lo soliciten, en los términos de los párrafos 574 a 576 de </w:t>
      </w:r>
      <w:r w:rsidRPr="00FF7936">
        <w:rPr>
          <w:sz w:val="20"/>
          <w:szCs w:val="20"/>
        </w:rPr>
        <w:t>l</w:t>
      </w:r>
      <w:r w:rsidR="00F7187A" w:rsidRPr="00FF7936">
        <w:rPr>
          <w:sz w:val="20"/>
          <w:szCs w:val="20"/>
        </w:rPr>
        <w:t xml:space="preserve">a Sentencia. </w:t>
      </w:r>
    </w:p>
    <w:p w14:paraId="47BFAC7C" w14:textId="77777777" w:rsidR="007231D9" w:rsidRPr="00FF7936" w:rsidRDefault="007231D9" w:rsidP="007231D9">
      <w:pPr>
        <w:pStyle w:val="Prrafodelista"/>
      </w:pPr>
    </w:p>
    <w:p w14:paraId="38A24087" w14:textId="77777777" w:rsidR="007231D9" w:rsidRPr="00FF7936" w:rsidRDefault="007231D9" w:rsidP="007231D9">
      <w:pPr>
        <w:pStyle w:val="Default"/>
        <w:numPr>
          <w:ilvl w:val="0"/>
          <w:numId w:val="2"/>
        </w:numPr>
        <w:jc w:val="both"/>
        <w:rPr>
          <w:sz w:val="20"/>
          <w:szCs w:val="20"/>
        </w:rPr>
      </w:pPr>
      <w:r w:rsidRPr="00FF7936">
        <w:rPr>
          <w:sz w:val="20"/>
          <w:szCs w:val="20"/>
        </w:rPr>
        <w:t>R</w:t>
      </w:r>
      <w:r w:rsidR="00F7187A" w:rsidRPr="00FF7936">
        <w:rPr>
          <w:sz w:val="20"/>
          <w:szCs w:val="20"/>
        </w:rPr>
        <w:t>ealizar</w:t>
      </w:r>
      <w:r w:rsidRPr="00FF7936">
        <w:rPr>
          <w:sz w:val="20"/>
          <w:szCs w:val="20"/>
        </w:rPr>
        <w:t xml:space="preserve"> </w:t>
      </w:r>
      <w:r w:rsidR="00F7187A" w:rsidRPr="00FF7936">
        <w:rPr>
          <w:sz w:val="20"/>
          <w:szCs w:val="20"/>
        </w:rPr>
        <w:t xml:space="preserve">las publicaciones y difusiones de </w:t>
      </w:r>
      <w:r w:rsidRPr="00FF7936">
        <w:rPr>
          <w:sz w:val="20"/>
          <w:szCs w:val="20"/>
        </w:rPr>
        <w:t>l</w:t>
      </w:r>
      <w:r w:rsidR="00F7187A" w:rsidRPr="00FF7936">
        <w:rPr>
          <w:sz w:val="20"/>
          <w:szCs w:val="20"/>
        </w:rPr>
        <w:t xml:space="preserve">a Sentencia y su resumen oficial indicadas en los párrafos 580 a 582 de la misma. </w:t>
      </w:r>
    </w:p>
    <w:p w14:paraId="4392522F" w14:textId="77777777" w:rsidR="007231D9" w:rsidRPr="00FF7936" w:rsidRDefault="007231D9" w:rsidP="007231D9">
      <w:pPr>
        <w:pStyle w:val="Prrafodelista"/>
      </w:pPr>
    </w:p>
    <w:p w14:paraId="33009480" w14:textId="77777777" w:rsidR="007231D9" w:rsidRPr="00FF7936" w:rsidRDefault="007231D9" w:rsidP="007231D9">
      <w:pPr>
        <w:pStyle w:val="Default"/>
        <w:numPr>
          <w:ilvl w:val="0"/>
          <w:numId w:val="2"/>
        </w:numPr>
        <w:jc w:val="both"/>
        <w:rPr>
          <w:sz w:val="20"/>
          <w:szCs w:val="20"/>
        </w:rPr>
      </w:pPr>
      <w:r w:rsidRPr="00FF7936">
        <w:rPr>
          <w:sz w:val="20"/>
          <w:szCs w:val="20"/>
        </w:rPr>
        <w:t>R</w:t>
      </w:r>
      <w:r w:rsidR="00F7187A" w:rsidRPr="00FF7936">
        <w:rPr>
          <w:sz w:val="20"/>
          <w:szCs w:val="20"/>
        </w:rPr>
        <w:t xml:space="preserve">ealizar un acto público de reconocimiento de responsabilidad internacional, en los términos de los párrafos 585 y 586 de la Sentencia. </w:t>
      </w:r>
    </w:p>
    <w:p w14:paraId="384DC320" w14:textId="77777777" w:rsidR="007231D9" w:rsidRPr="00FF7936" w:rsidRDefault="007231D9" w:rsidP="007231D9">
      <w:pPr>
        <w:pStyle w:val="Prrafodelista"/>
      </w:pPr>
    </w:p>
    <w:p w14:paraId="35EA2EC2" w14:textId="77777777" w:rsidR="009A2407" w:rsidRPr="00FF7936" w:rsidRDefault="007231D9" w:rsidP="009A2407">
      <w:pPr>
        <w:pStyle w:val="Default"/>
        <w:numPr>
          <w:ilvl w:val="0"/>
          <w:numId w:val="2"/>
        </w:numPr>
        <w:jc w:val="both"/>
        <w:rPr>
          <w:sz w:val="20"/>
          <w:szCs w:val="20"/>
        </w:rPr>
      </w:pPr>
      <w:r w:rsidRPr="00FF7936">
        <w:rPr>
          <w:sz w:val="20"/>
          <w:szCs w:val="20"/>
        </w:rPr>
        <w:t>E</w:t>
      </w:r>
      <w:r w:rsidR="00F7187A" w:rsidRPr="00FF7936">
        <w:rPr>
          <w:sz w:val="20"/>
          <w:szCs w:val="20"/>
        </w:rPr>
        <w:t xml:space="preserve">stablecer un día nacional en conmemoración de las víctimas de la Unión Patriótica y efectuar actividades para su difusión, entre ellas en escuelas y colegios públicos, en los términos del párrafo 588 de </w:t>
      </w:r>
      <w:r w:rsidR="009A2407" w:rsidRPr="00FF7936">
        <w:rPr>
          <w:sz w:val="20"/>
          <w:szCs w:val="20"/>
        </w:rPr>
        <w:t>l</w:t>
      </w:r>
      <w:r w:rsidR="00F7187A" w:rsidRPr="00FF7936">
        <w:rPr>
          <w:sz w:val="20"/>
          <w:szCs w:val="20"/>
        </w:rPr>
        <w:t xml:space="preserve">a Sentencia. </w:t>
      </w:r>
    </w:p>
    <w:p w14:paraId="7410A935" w14:textId="77777777" w:rsidR="009A2407" w:rsidRPr="00FF7936" w:rsidRDefault="009A2407" w:rsidP="009A2407">
      <w:pPr>
        <w:pStyle w:val="Prrafodelista"/>
      </w:pPr>
    </w:p>
    <w:p w14:paraId="4147545A" w14:textId="77777777" w:rsidR="009A2407" w:rsidRPr="00FF7936" w:rsidRDefault="009A2407" w:rsidP="009A2407">
      <w:pPr>
        <w:pStyle w:val="Default"/>
        <w:numPr>
          <w:ilvl w:val="0"/>
          <w:numId w:val="2"/>
        </w:numPr>
        <w:jc w:val="both"/>
        <w:rPr>
          <w:sz w:val="20"/>
          <w:szCs w:val="20"/>
        </w:rPr>
      </w:pPr>
      <w:r w:rsidRPr="00FF7936">
        <w:rPr>
          <w:sz w:val="20"/>
          <w:szCs w:val="20"/>
        </w:rPr>
        <w:t>C</w:t>
      </w:r>
      <w:r w:rsidR="00F7187A" w:rsidRPr="00FF7936">
        <w:rPr>
          <w:sz w:val="20"/>
          <w:szCs w:val="20"/>
        </w:rPr>
        <w:t xml:space="preserve">onstruir un monumento en memoria de las víctimas y de los hechos cometidos en contra de los integrantes, militantes y simpatizantes de la Unión Patriótica, en los términos de los párrafos 590 y 591 de </w:t>
      </w:r>
      <w:r w:rsidRPr="00FF7936">
        <w:rPr>
          <w:sz w:val="20"/>
          <w:szCs w:val="20"/>
        </w:rPr>
        <w:t>l</w:t>
      </w:r>
      <w:r w:rsidR="00F7187A" w:rsidRPr="00FF7936">
        <w:rPr>
          <w:sz w:val="20"/>
          <w:szCs w:val="20"/>
        </w:rPr>
        <w:t xml:space="preserve">a Sentencia </w:t>
      </w:r>
    </w:p>
    <w:p w14:paraId="687BDE47" w14:textId="77777777" w:rsidR="009A2407" w:rsidRPr="00FF7936" w:rsidRDefault="009A2407" w:rsidP="009A2407">
      <w:pPr>
        <w:pStyle w:val="Prrafodelista"/>
      </w:pPr>
    </w:p>
    <w:p w14:paraId="6CA9C8AB" w14:textId="77777777" w:rsidR="00904143" w:rsidRPr="00FF7936" w:rsidRDefault="009A2407" w:rsidP="00904143">
      <w:pPr>
        <w:pStyle w:val="Default"/>
        <w:numPr>
          <w:ilvl w:val="0"/>
          <w:numId w:val="2"/>
        </w:numPr>
        <w:jc w:val="both"/>
        <w:rPr>
          <w:sz w:val="20"/>
          <w:szCs w:val="20"/>
        </w:rPr>
      </w:pPr>
      <w:r w:rsidRPr="00FF7936">
        <w:rPr>
          <w:sz w:val="20"/>
          <w:szCs w:val="20"/>
        </w:rPr>
        <w:t>C</w:t>
      </w:r>
      <w:r w:rsidR="00F7187A" w:rsidRPr="00FF7936">
        <w:rPr>
          <w:sz w:val="20"/>
          <w:szCs w:val="20"/>
        </w:rPr>
        <w:t xml:space="preserve">olocar placas en al menos cinco lugares o espacios públicos para conmemorar a las víctimas del presente caso, en los términos del párrafo 592 de </w:t>
      </w:r>
      <w:r w:rsidRPr="00FF7936">
        <w:rPr>
          <w:sz w:val="20"/>
          <w:szCs w:val="20"/>
        </w:rPr>
        <w:t>l</w:t>
      </w:r>
      <w:r w:rsidR="00F7187A" w:rsidRPr="00FF7936">
        <w:rPr>
          <w:sz w:val="20"/>
          <w:szCs w:val="20"/>
        </w:rPr>
        <w:t xml:space="preserve">a Sentencia. </w:t>
      </w:r>
    </w:p>
    <w:p w14:paraId="48844ADF" w14:textId="77777777" w:rsidR="00904143" w:rsidRPr="00FF7936" w:rsidRDefault="00904143" w:rsidP="00904143">
      <w:pPr>
        <w:pStyle w:val="Prrafodelista"/>
      </w:pPr>
    </w:p>
    <w:p w14:paraId="60A9A4A8" w14:textId="77777777" w:rsidR="00904143" w:rsidRPr="00FF7936" w:rsidRDefault="00904143" w:rsidP="00904143">
      <w:pPr>
        <w:pStyle w:val="Default"/>
        <w:numPr>
          <w:ilvl w:val="0"/>
          <w:numId w:val="2"/>
        </w:numPr>
        <w:jc w:val="both"/>
        <w:rPr>
          <w:sz w:val="20"/>
          <w:szCs w:val="20"/>
        </w:rPr>
      </w:pPr>
      <w:r w:rsidRPr="00FF7936">
        <w:rPr>
          <w:sz w:val="20"/>
          <w:szCs w:val="20"/>
        </w:rPr>
        <w:t>E</w:t>
      </w:r>
      <w:r w:rsidR="00F7187A" w:rsidRPr="00FF7936">
        <w:rPr>
          <w:sz w:val="20"/>
          <w:szCs w:val="20"/>
        </w:rPr>
        <w:t xml:space="preserve">laborar y difundir un documental audiovisual sobre la violencia y estigmatización contra la Unión Patriótica, en los términos de los párrafos 594 y 595 de </w:t>
      </w:r>
      <w:r w:rsidRPr="00FF7936">
        <w:rPr>
          <w:sz w:val="20"/>
          <w:szCs w:val="20"/>
        </w:rPr>
        <w:t>l</w:t>
      </w:r>
      <w:r w:rsidR="00F7187A" w:rsidRPr="00FF7936">
        <w:rPr>
          <w:sz w:val="20"/>
          <w:szCs w:val="20"/>
        </w:rPr>
        <w:t xml:space="preserve">a Sentencia. </w:t>
      </w:r>
    </w:p>
    <w:p w14:paraId="671EAE6D" w14:textId="77777777" w:rsidR="00904143" w:rsidRPr="00FF7936" w:rsidRDefault="00904143" w:rsidP="00904143">
      <w:pPr>
        <w:pStyle w:val="Prrafodelista"/>
      </w:pPr>
    </w:p>
    <w:p w14:paraId="49481790" w14:textId="77777777" w:rsidR="00904143" w:rsidRPr="00FF7936" w:rsidRDefault="00904143" w:rsidP="00904143">
      <w:pPr>
        <w:pStyle w:val="Default"/>
        <w:numPr>
          <w:ilvl w:val="0"/>
          <w:numId w:val="2"/>
        </w:numPr>
        <w:jc w:val="both"/>
        <w:rPr>
          <w:sz w:val="20"/>
          <w:szCs w:val="20"/>
        </w:rPr>
      </w:pPr>
      <w:r w:rsidRPr="00FF7936">
        <w:rPr>
          <w:sz w:val="20"/>
          <w:szCs w:val="20"/>
        </w:rPr>
        <w:t>R</w:t>
      </w:r>
      <w:r w:rsidR="00F7187A" w:rsidRPr="00FF7936">
        <w:rPr>
          <w:sz w:val="20"/>
          <w:szCs w:val="20"/>
        </w:rPr>
        <w:t>ealizar una campaña nacional en medios públicos con la finalidad de sensibilizar a la sociedad colombiana respecto a la violencia, persecución y estigmatización a la que se vieron sometidos los dirigentes, militantes, integrantes y familiares de los miembros de la Unión Patriótica, en los términos del párrafo 597 de</w:t>
      </w:r>
      <w:r w:rsidRPr="00FF7936">
        <w:rPr>
          <w:sz w:val="20"/>
          <w:szCs w:val="20"/>
        </w:rPr>
        <w:t xml:space="preserve"> l</w:t>
      </w:r>
      <w:r w:rsidR="00F7187A" w:rsidRPr="00FF7936">
        <w:rPr>
          <w:sz w:val="20"/>
          <w:szCs w:val="20"/>
        </w:rPr>
        <w:t xml:space="preserve">a Sentencia. </w:t>
      </w:r>
    </w:p>
    <w:p w14:paraId="6DBCCB79" w14:textId="77777777" w:rsidR="00904143" w:rsidRPr="00FF7936" w:rsidRDefault="00904143" w:rsidP="00904143">
      <w:pPr>
        <w:pStyle w:val="Prrafodelista"/>
      </w:pPr>
    </w:p>
    <w:p w14:paraId="3EFE27C4" w14:textId="77777777" w:rsidR="00904143" w:rsidRPr="00FF7936" w:rsidRDefault="00904143" w:rsidP="00904143">
      <w:pPr>
        <w:pStyle w:val="Default"/>
        <w:numPr>
          <w:ilvl w:val="0"/>
          <w:numId w:val="2"/>
        </w:numPr>
        <w:jc w:val="both"/>
        <w:rPr>
          <w:sz w:val="20"/>
          <w:szCs w:val="20"/>
        </w:rPr>
      </w:pPr>
      <w:r w:rsidRPr="00FF7936">
        <w:rPr>
          <w:sz w:val="20"/>
          <w:szCs w:val="20"/>
        </w:rPr>
        <w:t>R</w:t>
      </w:r>
      <w:r w:rsidR="00F7187A" w:rsidRPr="00FF7936">
        <w:rPr>
          <w:sz w:val="20"/>
          <w:szCs w:val="20"/>
        </w:rPr>
        <w:t xml:space="preserve">ealizar foros académicos en al menos cinco universidades públicas en distintos lugares del país sobre temas relacionados con el presente caso, en los términos del párrafo 599 de </w:t>
      </w:r>
      <w:r w:rsidRPr="00FF7936">
        <w:rPr>
          <w:sz w:val="20"/>
          <w:szCs w:val="20"/>
        </w:rPr>
        <w:t>l</w:t>
      </w:r>
      <w:r w:rsidR="00F7187A" w:rsidRPr="00FF7936">
        <w:rPr>
          <w:sz w:val="20"/>
          <w:szCs w:val="20"/>
        </w:rPr>
        <w:t xml:space="preserve">a Sentencia. </w:t>
      </w:r>
    </w:p>
    <w:p w14:paraId="37485043" w14:textId="77777777" w:rsidR="00904143" w:rsidRPr="00FF7936" w:rsidRDefault="00904143" w:rsidP="00904143">
      <w:pPr>
        <w:pStyle w:val="Prrafodelista"/>
      </w:pPr>
    </w:p>
    <w:p w14:paraId="3BC0034A" w14:textId="77777777" w:rsidR="00904143" w:rsidRPr="00FF7936" w:rsidRDefault="00904143" w:rsidP="00904143">
      <w:pPr>
        <w:pStyle w:val="Default"/>
        <w:numPr>
          <w:ilvl w:val="0"/>
          <w:numId w:val="2"/>
        </w:numPr>
        <w:jc w:val="both"/>
        <w:rPr>
          <w:sz w:val="20"/>
          <w:szCs w:val="20"/>
        </w:rPr>
      </w:pPr>
      <w:r w:rsidRPr="00FF7936">
        <w:rPr>
          <w:sz w:val="20"/>
          <w:szCs w:val="20"/>
        </w:rPr>
        <w:t>R</w:t>
      </w:r>
      <w:r w:rsidR="00F7187A" w:rsidRPr="00FF7936">
        <w:rPr>
          <w:sz w:val="20"/>
          <w:szCs w:val="20"/>
        </w:rPr>
        <w:t>endir a la Corte un informe en el cual acuerde con autoridades de la Unión Patriótica cuáles son los aspectos por mejorar o fortalecer en los mecanismos de protección existentes y cómo se implementarán, con el fin de garantizar adecuadamente la seguridad y</w:t>
      </w:r>
      <w:r w:rsidR="00800962" w:rsidRPr="00FF7936">
        <w:rPr>
          <w:sz w:val="20"/>
          <w:szCs w:val="20"/>
        </w:rPr>
        <w:t xml:space="preserve"> </w:t>
      </w:r>
      <w:r w:rsidR="00800962" w:rsidRPr="00FF7936">
        <w:rPr>
          <w:sz w:val="20"/>
          <w:szCs w:val="20"/>
        </w:rPr>
        <w:t xml:space="preserve">protección de dirigentes, miembros y militantes de la Unión Patriótica, en los términos del párrafo 602 de </w:t>
      </w:r>
      <w:r w:rsidRPr="00FF7936">
        <w:rPr>
          <w:sz w:val="20"/>
          <w:szCs w:val="20"/>
        </w:rPr>
        <w:t>l</w:t>
      </w:r>
      <w:r w:rsidR="00800962" w:rsidRPr="00FF7936">
        <w:rPr>
          <w:sz w:val="20"/>
          <w:szCs w:val="20"/>
        </w:rPr>
        <w:t xml:space="preserve">a Sentencia. </w:t>
      </w:r>
    </w:p>
    <w:p w14:paraId="504AFA29" w14:textId="77777777" w:rsidR="00904143" w:rsidRPr="00FF7936" w:rsidRDefault="00904143" w:rsidP="00904143">
      <w:pPr>
        <w:pStyle w:val="Prrafodelista"/>
      </w:pPr>
    </w:p>
    <w:p w14:paraId="7C53698D" w14:textId="12BA271A" w:rsidR="00904143" w:rsidRPr="00FF7936" w:rsidRDefault="00904143" w:rsidP="00904143">
      <w:pPr>
        <w:pStyle w:val="Default"/>
        <w:numPr>
          <w:ilvl w:val="0"/>
          <w:numId w:val="2"/>
        </w:numPr>
        <w:jc w:val="both"/>
        <w:rPr>
          <w:sz w:val="20"/>
          <w:szCs w:val="20"/>
        </w:rPr>
      </w:pPr>
      <w:r w:rsidRPr="00FF7936">
        <w:rPr>
          <w:sz w:val="20"/>
          <w:szCs w:val="20"/>
        </w:rPr>
        <w:t>P</w:t>
      </w:r>
      <w:r w:rsidR="00800962" w:rsidRPr="00FF7936">
        <w:rPr>
          <w:sz w:val="20"/>
          <w:szCs w:val="20"/>
        </w:rPr>
        <w:t>agar las cantidades fijadas en el párrafo 626 de la Sentencia, por concepto de indemnizaciones por daños materiales e inmateriales</w:t>
      </w:r>
      <w:r w:rsidRPr="00FF7936">
        <w:rPr>
          <w:sz w:val="20"/>
          <w:szCs w:val="20"/>
        </w:rPr>
        <w:t>.</w:t>
      </w:r>
    </w:p>
    <w:p w14:paraId="27053C63" w14:textId="77777777" w:rsidR="00904143" w:rsidRPr="00FF7936" w:rsidRDefault="00904143" w:rsidP="00904143">
      <w:pPr>
        <w:pStyle w:val="Prrafodelista"/>
      </w:pPr>
    </w:p>
    <w:p w14:paraId="3A59DA32" w14:textId="77777777" w:rsidR="00904143" w:rsidRPr="00FF7936" w:rsidRDefault="00904143" w:rsidP="00904143">
      <w:pPr>
        <w:pStyle w:val="Default"/>
        <w:numPr>
          <w:ilvl w:val="0"/>
          <w:numId w:val="2"/>
        </w:numPr>
        <w:jc w:val="both"/>
        <w:rPr>
          <w:sz w:val="20"/>
          <w:szCs w:val="20"/>
        </w:rPr>
      </w:pPr>
      <w:r w:rsidRPr="00FF7936">
        <w:rPr>
          <w:sz w:val="20"/>
          <w:szCs w:val="20"/>
        </w:rPr>
        <w:t>Pagar</w:t>
      </w:r>
      <w:r w:rsidR="00800962" w:rsidRPr="00FF7936">
        <w:rPr>
          <w:sz w:val="20"/>
          <w:szCs w:val="20"/>
        </w:rPr>
        <w:t xml:space="preserve"> las cantidades fijadas en los párrafos 567 a 568 de la Sentencia con el fin de contribuir a la restitución de las víctimas de desplazamiento forzado</w:t>
      </w:r>
      <w:r w:rsidRPr="00FF7936">
        <w:rPr>
          <w:sz w:val="20"/>
          <w:szCs w:val="20"/>
        </w:rPr>
        <w:t>.</w:t>
      </w:r>
    </w:p>
    <w:p w14:paraId="24149099" w14:textId="77777777" w:rsidR="00904143" w:rsidRPr="00FF7936" w:rsidRDefault="00904143" w:rsidP="00904143">
      <w:pPr>
        <w:pStyle w:val="Prrafodelista"/>
      </w:pPr>
    </w:p>
    <w:p w14:paraId="493B390B" w14:textId="77777777" w:rsidR="00904143" w:rsidRPr="00FF7936" w:rsidRDefault="00904143" w:rsidP="00904143">
      <w:pPr>
        <w:pStyle w:val="Default"/>
        <w:numPr>
          <w:ilvl w:val="0"/>
          <w:numId w:val="2"/>
        </w:numPr>
        <w:jc w:val="both"/>
        <w:rPr>
          <w:sz w:val="20"/>
          <w:szCs w:val="20"/>
        </w:rPr>
      </w:pPr>
      <w:r w:rsidRPr="00FF7936">
        <w:rPr>
          <w:sz w:val="20"/>
          <w:szCs w:val="20"/>
        </w:rPr>
        <w:t>Pagar</w:t>
      </w:r>
      <w:r w:rsidR="00800962" w:rsidRPr="00FF7936">
        <w:rPr>
          <w:sz w:val="20"/>
          <w:szCs w:val="20"/>
        </w:rPr>
        <w:t xml:space="preserve"> las cantidades fijadas en el párrafo 577 a favor de determinados miembros de la familia Díaz Mansilla por concepto de los gastos por tratamiento médico, psicológico o psiquiátrico</w:t>
      </w:r>
      <w:r w:rsidRPr="00FF7936">
        <w:rPr>
          <w:sz w:val="20"/>
          <w:szCs w:val="20"/>
        </w:rPr>
        <w:t>.</w:t>
      </w:r>
    </w:p>
    <w:p w14:paraId="00083969" w14:textId="77777777" w:rsidR="00904143" w:rsidRPr="00FF7936" w:rsidRDefault="00904143" w:rsidP="00904143">
      <w:pPr>
        <w:pStyle w:val="Prrafodelista"/>
      </w:pPr>
    </w:p>
    <w:p w14:paraId="68C48DB2" w14:textId="36BD6B6F" w:rsidR="00800962" w:rsidRPr="00FF7936" w:rsidRDefault="00904143" w:rsidP="00904143">
      <w:pPr>
        <w:pStyle w:val="Default"/>
        <w:numPr>
          <w:ilvl w:val="0"/>
          <w:numId w:val="2"/>
        </w:numPr>
        <w:jc w:val="both"/>
        <w:rPr>
          <w:sz w:val="20"/>
          <w:szCs w:val="20"/>
        </w:rPr>
      </w:pPr>
      <w:r w:rsidRPr="00FF7936">
        <w:rPr>
          <w:sz w:val="20"/>
          <w:szCs w:val="20"/>
        </w:rPr>
        <w:t>Pagar</w:t>
      </w:r>
      <w:r w:rsidR="00800962" w:rsidRPr="00FF7936">
        <w:rPr>
          <w:sz w:val="20"/>
          <w:szCs w:val="20"/>
        </w:rPr>
        <w:t xml:space="preserve"> las cantidades fijadas en los párrafos 639 a 641 por el reintegro de costas y gastos</w:t>
      </w:r>
      <w:r w:rsidRPr="00FF7936">
        <w:rPr>
          <w:sz w:val="20"/>
          <w:szCs w:val="20"/>
        </w:rPr>
        <w:t>.</w:t>
      </w:r>
      <w:r w:rsidR="00800962" w:rsidRPr="00FF7936">
        <w:rPr>
          <w:sz w:val="20"/>
          <w:szCs w:val="20"/>
        </w:rPr>
        <w:t xml:space="preserve"> </w:t>
      </w:r>
    </w:p>
    <w:p w14:paraId="6B076449" w14:textId="77777777" w:rsidR="00800962" w:rsidRPr="00FF7936" w:rsidRDefault="00800962"/>
    <w:p w14:paraId="78637312" w14:textId="77777777" w:rsidR="00800962" w:rsidRDefault="00800962"/>
    <w:sectPr w:rsidR="008009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3C47" w14:textId="77777777" w:rsidR="00E83954" w:rsidRDefault="00E83954">
      <w:r>
        <w:separator/>
      </w:r>
    </w:p>
  </w:endnote>
  <w:endnote w:type="continuationSeparator" w:id="0">
    <w:p w14:paraId="4D94A092" w14:textId="77777777" w:rsidR="00E83954" w:rsidRDefault="00E8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FF793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CDC1" w14:textId="77777777" w:rsidR="00E83954" w:rsidRDefault="00E83954">
      <w:r>
        <w:separator/>
      </w:r>
    </w:p>
  </w:footnote>
  <w:footnote w:type="continuationSeparator" w:id="0">
    <w:p w14:paraId="5E4BC21B" w14:textId="77777777" w:rsidR="00E83954" w:rsidRDefault="00E8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21780DFF"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CC177A">
          <w:rPr>
            <w:rFonts w:ascii="Verdana" w:hAnsi="Verdana"/>
            <w:noProof/>
          </w:rPr>
          <w:t>2</w:t>
        </w:r>
        <w:r w:rsidRPr="00675FE7">
          <w:rPr>
            <w:rFonts w:ascii="Verdana" w:hAnsi="Verdana"/>
            <w:noProof/>
          </w:rPr>
          <w:fldChar w:fldCharType="end"/>
        </w:r>
      </w:p>
    </w:sdtContent>
  </w:sdt>
  <w:p w14:paraId="1EF4AC7C" w14:textId="77777777" w:rsidR="0015679C" w:rsidRDefault="00FF79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09C3F30"/>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063555764">
    <w:abstractNumId w:val="2"/>
  </w:num>
  <w:num w:numId="2" w16cid:durableId="480999730">
    <w:abstractNumId w:val="0"/>
  </w:num>
  <w:num w:numId="3" w16cid:durableId="1365397877">
    <w:abstractNumId w:val="3"/>
  </w:num>
  <w:num w:numId="4" w16cid:durableId="131865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0321D"/>
    <w:rsid w:val="00025717"/>
    <w:rsid w:val="000926D5"/>
    <w:rsid w:val="000A612F"/>
    <w:rsid w:val="00194D75"/>
    <w:rsid w:val="001E2499"/>
    <w:rsid w:val="00233E36"/>
    <w:rsid w:val="002D7823"/>
    <w:rsid w:val="00327C85"/>
    <w:rsid w:val="00344D7A"/>
    <w:rsid w:val="003B767E"/>
    <w:rsid w:val="004A5875"/>
    <w:rsid w:val="004B642A"/>
    <w:rsid w:val="004C665B"/>
    <w:rsid w:val="00581650"/>
    <w:rsid w:val="005C16F6"/>
    <w:rsid w:val="006C4B02"/>
    <w:rsid w:val="00703E04"/>
    <w:rsid w:val="007231D9"/>
    <w:rsid w:val="00736B3D"/>
    <w:rsid w:val="00742BD2"/>
    <w:rsid w:val="00755F2B"/>
    <w:rsid w:val="007846AF"/>
    <w:rsid w:val="007D7186"/>
    <w:rsid w:val="00800962"/>
    <w:rsid w:val="00812D36"/>
    <w:rsid w:val="008640F8"/>
    <w:rsid w:val="00904143"/>
    <w:rsid w:val="009A2407"/>
    <w:rsid w:val="009C4171"/>
    <w:rsid w:val="009D529F"/>
    <w:rsid w:val="00A14DAE"/>
    <w:rsid w:val="00A24FB4"/>
    <w:rsid w:val="00A73E79"/>
    <w:rsid w:val="00A85FFA"/>
    <w:rsid w:val="00BE4B32"/>
    <w:rsid w:val="00CC177A"/>
    <w:rsid w:val="00D233CD"/>
    <w:rsid w:val="00DE3980"/>
    <w:rsid w:val="00E21AC9"/>
    <w:rsid w:val="00E34D8E"/>
    <w:rsid w:val="00E83954"/>
    <w:rsid w:val="00F7187A"/>
    <w:rsid w:val="00FF79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1296-BCED-4D13-BF90-C510452D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28</cp:revision>
  <dcterms:created xsi:type="dcterms:W3CDTF">2021-10-29T17:53:00Z</dcterms:created>
  <dcterms:modified xsi:type="dcterms:W3CDTF">2023-03-24T18:51:00Z</dcterms:modified>
</cp:coreProperties>
</file>